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A3" w:rsidRPr="007716AD" w:rsidRDefault="00F42CA3" w:rsidP="00F42CA3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2</w:t>
      </w:r>
    </w:p>
    <w:p w:rsidR="00F42CA3" w:rsidRPr="0076259F" w:rsidRDefault="00F42CA3" w:rsidP="00F42CA3"/>
    <w:p w:rsidR="00F42CA3" w:rsidRPr="00AF2D08" w:rsidRDefault="00F42CA3" w:rsidP="00F42CA3">
      <w:pPr>
        <w:pStyle w:val="Titre1"/>
      </w:pPr>
      <w:r w:rsidRPr="00AF2D08">
        <w:t>Brevet de Technicien Supérieur</w:t>
      </w:r>
    </w:p>
    <w:p w:rsidR="00F42CA3" w:rsidRPr="00AF2D08" w:rsidRDefault="00F42CA3" w:rsidP="00F42CA3">
      <w:pPr>
        <w:pStyle w:val="Titre1"/>
      </w:pPr>
      <w:r>
        <w:t>Management des Unités C</w:t>
      </w:r>
      <w:r w:rsidRPr="00AF2D08">
        <w:t xml:space="preserve">ommerciales </w:t>
      </w:r>
    </w:p>
    <w:p w:rsidR="00F42CA3" w:rsidRPr="00B02B1D" w:rsidRDefault="00F42CA3" w:rsidP="00F42CA3">
      <w:pPr>
        <w:pStyle w:val="Titre1"/>
      </w:pPr>
      <w:r w:rsidRPr="00AF2D08">
        <w:t xml:space="preserve">Session </w:t>
      </w:r>
      <w:r>
        <w:t>2015</w:t>
      </w:r>
    </w:p>
    <w:p w:rsidR="00F42CA3" w:rsidRDefault="00F42CA3" w:rsidP="00F42CA3">
      <w:pPr>
        <w:pStyle w:val="Titre1"/>
      </w:pPr>
    </w:p>
    <w:p w:rsidR="00F42CA3" w:rsidRDefault="00F42CA3" w:rsidP="00F42CA3">
      <w:pPr>
        <w:pStyle w:val="Titre1"/>
        <w:rPr>
          <w:rFonts w:ascii="Comic Sans MS" w:hAnsi="Comic Sans MS"/>
          <w:b w:val="0"/>
        </w:rPr>
      </w:pPr>
      <w:r w:rsidRPr="00B118B4">
        <w:t xml:space="preserve"> </w:t>
      </w:r>
      <w:r>
        <w:t>Tableau des regroupements inter académiques</w:t>
      </w:r>
    </w:p>
    <w:p w:rsidR="00F42CA3" w:rsidRDefault="00F42CA3" w:rsidP="00F42CA3">
      <w:pPr>
        <w:tabs>
          <w:tab w:val="left" w:pos="567"/>
        </w:tabs>
        <w:jc w:val="center"/>
        <w:rPr>
          <w:rFonts w:ascii="Comic Sans MS" w:hAnsi="Comic Sans MS"/>
          <w:b/>
        </w:rPr>
      </w:pPr>
    </w:p>
    <w:p w:rsidR="00F42CA3" w:rsidRDefault="00F42CA3" w:rsidP="00F42CA3">
      <w:pPr>
        <w:tabs>
          <w:tab w:val="left" w:pos="7920"/>
        </w:tabs>
        <w:ind w:right="-1087"/>
        <w:rPr>
          <w:sz w:val="22"/>
        </w:rPr>
      </w:pPr>
      <w:r>
        <w:rPr>
          <w:sz w:val="22"/>
        </w:rPr>
        <w:t>Toutes les académies sont autonomes à l'exception de celles figurant dans le tableau ci-dessous :</w:t>
      </w:r>
    </w:p>
    <w:p w:rsidR="00F42CA3" w:rsidRDefault="00F42CA3" w:rsidP="00F42CA3">
      <w:pPr>
        <w:ind w:right="567"/>
        <w:rPr>
          <w:rFonts w:ascii="Comic Sans MS" w:hAnsi="Comic Sans MS"/>
        </w:rPr>
      </w:pPr>
    </w:p>
    <w:tbl>
      <w:tblPr>
        <w:tblW w:w="9923" w:type="dxa"/>
        <w:tblInd w:w="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0"/>
        <w:gridCol w:w="1620"/>
        <w:gridCol w:w="2160"/>
        <w:gridCol w:w="2160"/>
        <w:gridCol w:w="2003"/>
      </w:tblGrid>
      <w:tr w:rsidR="00F42CA3" w:rsidTr="00D21B92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  <w:sz w:val="6"/>
              </w:rPr>
            </w:pPr>
            <w:r>
              <w:rPr>
                <w:b/>
                <w:smallCaps/>
              </w:rPr>
              <w:t>Académies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Pr="00427ADF" w:rsidRDefault="00F42CA3" w:rsidP="00D21B92">
            <w:pPr>
              <w:jc w:val="center"/>
              <w:rPr>
                <w:b/>
              </w:rPr>
            </w:pPr>
            <w:r w:rsidRPr="00427ADF">
              <w:rPr>
                <w:b/>
                <w:smallCaps/>
              </w:rPr>
              <w:t>Centres d'épreuves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Académies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Pilotes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rattachées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Écrit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Oral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jc w:val="center"/>
              <w:rPr>
                <w:b/>
                <w:smallCaps/>
                <w:sz w:val="16"/>
              </w:rPr>
            </w:pPr>
            <w:r>
              <w:rPr>
                <w:b/>
                <w:smallCaps/>
                <w:sz w:val="22"/>
              </w:rPr>
              <w:t>Centres de corrections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</w:tcPr>
          <w:p w:rsidR="00F42CA3" w:rsidRDefault="00F42CA3" w:rsidP="00D21B92">
            <w:pPr>
              <w:ind w:right="-71"/>
              <w:jc w:val="center"/>
              <w:rPr>
                <w:b/>
                <w:smallCaps/>
              </w:rPr>
            </w:pPr>
            <w:r>
              <w:rPr>
                <w:b/>
                <w:smallCaps/>
                <w:sz w:val="22"/>
              </w:rPr>
              <w:t>Centres de délibération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  <w:rPr>
                <w:sz w:val="6"/>
                <w:lang w:val="en-GB"/>
              </w:rPr>
            </w:pPr>
            <w:r>
              <w:rPr>
                <w:lang w:val="en-GB"/>
              </w:rPr>
              <w:t>Corse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  <w:rPr>
                <w:sz w:val="6"/>
                <w:lang w:val="en-GB"/>
              </w:rPr>
            </w:pPr>
            <w:r>
              <w:rPr>
                <w:lang w:val="en-GB"/>
              </w:rPr>
              <w:t>Corse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  <w:rPr>
                <w:sz w:val="6"/>
                <w:lang w:val="en-GB"/>
              </w:rPr>
            </w:pPr>
            <w:r>
              <w:rPr>
                <w:lang w:val="en-GB"/>
              </w:rPr>
              <w:t>Corse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Aix-Marseille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Aix-Marseille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</w:pPr>
            <w:r>
              <w:t>Polynésie Française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Polynésie Française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  <w:rPr>
                <w:sz w:val="6"/>
              </w:rPr>
            </w:pPr>
            <w:r>
              <w:t>Polynésie Française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Aix-Marseille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Aix-Marseille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  <w:rPr>
                <w:sz w:val="6"/>
              </w:rPr>
            </w:pPr>
            <w:r>
              <w:t>Mayotte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Mayotte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Mayotte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La Réunion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La Réunion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  <w:rPr>
                <w:sz w:val="16"/>
              </w:rPr>
            </w:pPr>
            <w:r>
              <w:t>Nouvelle Calédonie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Nouvelle Calédonie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Nouvelle Calédonie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Aix-Marseille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Nouvelle Calédonie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Pr="00427ADF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</w:pPr>
            <w:r>
              <w:t>Martinique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Martinique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Martinique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Guadeloupe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Guadeloupe</w:t>
            </w:r>
          </w:p>
        </w:tc>
      </w:tr>
      <w:tr w:rsidR="00F42CA3" w:rsidTr="00D21B92">
        <w:trPr>
          <w:trHeight w:val="567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109"/>
              </w:tabs>
              <w:spacing w:before="100" w:after="60"/>
              <w:ind w:left="109"/>
              <w:jc w:val="center"/>
            </w:pPr>
            <w:r>
              <w:t>Guyane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Guyane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567"/>
              </w:tabs>
              <w:spacing w:before="100" w:after="60"/>
              <w:ind w:left="109"/>
              <w:jc w:val="center"/>
            </w:pPr>
            <w:r>
              <w:t>Guyane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Guadeloupe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CA3" w:rsidRDefault="00F42CA3" w:rsidP="00D21B92">
            <w:pPr>
              <w:tabs>
                <w:tab w:val="left" w:pos="289"/>
              </w:tabs>
              <w:spacing w:before="100" w:after="60"/>
              <w:ind w:left="109"/>
              <w:jc w:val="center"/>
            </w:pPr>
            <w:r>
              <w:t>Guadeloupe</w:t>
            </w:r>
          </w:p>
        </w:tc>
      </w:tr>
    </w:tbl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F42CA3" w:rsidRDefault="00F42CA3" w:rsidP="00F42CA3">
      <w:pPr>
        <w:tabs>
          <w:tab w:val="left" w:pos="567"/>
        </w:tabs>
        <w:ind w:left="-2520"/>
        <w:jc w:val="both"/>
        <w:rPr>
          <w:rFonts w:ascii="Comic Sans MS" w:hAnsi="Comic Sans MS"/>
          <w:sz w:val="22"/>
        </w:rPr>
      </w:pPr>
    </w:p>
    <w:p w:rsidR="001F369B" w:rsidRPr="00F42CA3" w:rsidRDefault="001F369B">
      <w:pPr>
        <w:rPr>
          <w:b/>
          <w:bCs/>
          <w:iCs/>
          <w:sz w:val="22"/>
          <w:szCs w:val="22"/>
        </w:rPr>
      </w:pPr>
      <w:bookmarkStart w:id="0" w:name="_GoBack"/>
      <w:bookmarkEnd w:id="0"/>
    </w:p>
    <w:sectPr w:rsidR="001F369B" w:rsidRPr="00F42C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CA3"/>
    <w:rsid w:val="001F369B"/>
    <w:rsid w:val="0085681E"/>
    <w:rsid w:val="00F4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A3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F42CA3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F42CA3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F42CA3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F42CA3"/>
    <w:rPr>
      <w:rFonts w:ascii="Comic Sans MS" w:hAnsi="Comic Sans MS"/>
      <w:b/>
      <w:bCs/>
      <w:i/>
      <w:iCs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2CA3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F42CA3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F42CA3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F42CA3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F42CA3"/>
    <w:rPr>
      <w:rFonts w:ascii="Comic Sans MS" w:hAnsi="Comic Sans MS"/>
      <w:b/>
      <w:bCs/>
      <w:i/>
      <w:iCs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2014-02-02T15:28:00Z</dcterms:created>
  <dcterms:modified xsi:type="dcterms:W3CDTF">2014-02-02T15:28:00Z</dcterms:modified>
</cp:coreProperties>
</file>